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A5" w:rsidRPr="00B410A5" w:rsidRDefault="00B410A5" w:rsidP="00B410A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8"/>
          <w:szCs w:val="28"/>
        </w:rPr>
      </w:pPr>
      <w:r w:rsidRPr="00B410A5">
        <w:rPr>
          <w:rFonts w:ascii="Arial" w:eastAsia="Times New Roman" w:hAnsi="Arial" w:cs="David"/>
          <w:b/>
          <w:bCs/>
          <w:color w:val="222222"/>
          <w:sz w:val="28"/>
          <w:szCs w:val="28"/>
          <w:rtl/>
        </w:rPr>
        <w:t xml:space="preserve">תקנת </w:t>
      </w:r>
      <w:proofErr w:type="spellStart"/>
      <w:r w:rsidRPr="00B410A5">
        <w:rPr>
          <w:rFonts w:ascii="Arial" w:eastAsia="Times New Roman" w:hAnsi="Arial" w:cs="David"/>
          <w:b/>
          <w:bCs/>
          <w:color w:val="222222"/>
          <w:sz w:val="28"/>
          <w:szCs w:val="28"/>
          <w:rtl/>
        </w:rPr>
        <w:t>אושא</w:t>
      </w:r>
      <w:proofErr w:type="spellEnd"/>
      <w:r w:rsidRPr="00B410A5">
        <w:rPr>
          <w:rFonts w:ascii="Arial" w:eastAsia="Times New Roman" w:hAnsi="Arial" w:cs="David"/>
          <w:b/>
          <w:bCs/>
          <w:color w:val="222222"/>
          <w:sz w:val="28"/>
          <w:szCs w:val="28"/>
          <w:rtl/>
        </w:rPr>
        <w:t xml:space="preserve"> על לימוד תורה וחינוך הבנים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באושא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התקינו שאדם יתנהל עם בנו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עד גיל 12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בנחת ובדיבורים רכים גם אם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הבן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מסרב ללמוד (בלשון הגמר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= מתגלגל עם בנו ). מכאן ואילך (מגיל 12 ומעלה) יורד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עימו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לחייו (= נוקט אמצעים חמורים כדי לגרום לבן שילמד כגון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לרדותו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ברצועה ולמנוע ממנו מזון).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מקשה הגמרה איני?! (= אין היא= כך הוא?!=האם יתכן ש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כך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הדין וש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אסור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להכות את הילד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לפני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גיל 12?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!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) והרי רב אמר למורה רב שמואל בר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שילת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: ילד שהוא פחות מבן שש אל תקבל לכיתתך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,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(כי הוא עדיין לא בשל) אבל ילד שהוא בן שש קבל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ו״ספי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ליה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כתורא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״. הגמרה הבינה שרב מתיר להכות את הילד כמו שמכים שור מרדן. ואם כן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יש כאן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סתירה.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הגמרה מי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שבת את הסתירה בשתי תשובות:</w:t>
      </w:r>
    </w:p>
    <w:p w:rsidR="00B410A5" w:rsidRPr="00B410A5" w:rsidRDefault="00B410A5" w:rsidP="002548B8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א. רב לא אמר שמותר להכות את הילד לפני גיל 12. הוא אמר שמגיל שש ״ספי ליה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כתורא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״ כלומר צריך להעמיס על הילד הרבה חומר לימודי כמו שמאכילים שור כמויות גדולות כי הילד סקרן ויכולותיו הלימודיות גדולות בגיל זה אך </w:t>
      </w:r>
      <w:r w:rsidRPr="00B410A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אין להכותו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ע</w:t>
      </w:r>
      <w:r w:rsidR="002548B8">
        <w:rPr>
          <w:rFonts w:ascii="Arial" w:eastAsia="Times New Roman" w:hAnsi="Arial" w:cs="David" w:hint="cs"/>
          <w:color w:val="222222"/>
          <w:sz w:val="24"/>
          <w:szCs w:val="24"/>
          <w:rtl/>
        </w:rPr>
        <w:t>ד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גיל 12.</w:t>
      </w:r>
    </w:p>
    <w:p w:rsidR="00B410A5" w:rsidRPr="00B410A5" w:rsidRDefault="00B410A5" w:rsidP="002548B8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ב. ״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ואיבעית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אימא״ (=ואם תרצה אמור, מונח זה </w:t>
      </w:r>
      <w:r w:rsidR="002548B8">
        <w:rPr>
          <w:rFonts w:ascii="Arial" w:eastAsia="Times New Roman" w:hAnsi="Arial" w:cs="David" w:hint="cs"/>
          <w:color w:val="222222"/>
          <w:sz w:val="24"/>
          <w:szCs w:val="24"/>
          <w:rtl/>
        </w:rPr>
        <w:t>מ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ופיע </w:t>
      </w:r>
      <w:r w:rsidR="002548B8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בדרך כלל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לפני תשובה נוספת שהגמר</w:t>
      </w:r>
      <w:r w:rsidR="002548B8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מביאה לשאלה או לסתירה).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״לא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קשיא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״ (=לא קשה. מונח המופיע לפני התשובה או התירוץ).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יש הבדל בין לימוד מקרא שהוא פשוט 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וקל יחסית,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לבין לימוד משנה שהוא קשה יותר. לימוד מקרא אפשר לדרוש מילד בן שש ואפילו לכפות אותו בכוח כמו שאמר רב לרב שמואל בר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שילת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. אבל לימוד משנה הוא קשה ואותו אפשר לכפות רק בגיל 12, כתקנת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אושא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. </w:t>
      </w:r>
    </w:p>
    <w:p w:rsidR="008E6FCF" w:rsidRDefault="008E6FCF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Pr="00B410A5" w:rsidRDefault="00B410A5" w:rsidP="008E6FCF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בהקשר ליישוב זה מביאה הסוגיה את דברי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אביי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שאמר בשם אמו המאמצת: </w:t>
      </w:r>
    </w:p>
    <w:p w:rsidR="00B410A5" w:rsidRPr="00B410A5" w:rsidRDefault="00B410A5" w:rsidP="008E6FCF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ילד בן 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>6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- מתאים ללימוד מקרא.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ילד בן 10- מתאים ללימוד משנה.</w:t>
      </w:r>
    </w:p>
    <w:p w:rsidR="00B410A5" w:rsidRPr="00B410A5" w:rsidRDefault="00B410A5" w:rsidP="008E6FCF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ילד בן 13- מתאים לתענית 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>מעת לעת (=יממה)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. </w:t>
      </w:r>
    </w:p>
    <w:p w:rsidR="00B410A5" w:rsidRPr="00B410A5" w:rsidRDefault="00B410A5" w:rsidP="008E6FCF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ותינוקת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F73E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(=ילדה) 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>בת 12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- מתאימה לצום 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>מעת לעת (=יממה)</w:t>
      </w:r>
      <w:r w:rsidR="008E6FCF"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. 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ילדה אינה חייבת בלימוד תורה ולכן היא לא חלשה כל כך כמו הבן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8E6FC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שחייב בלימוד תורה,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ומסוגלת לצום צום מלא בגיל 12. 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Pr="00B410A5" w:rsidRDefault="00B410A5" w:rsidP="008938FD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color w:val="222222"/>
          <w:sz w:val="28"/>
          <w:szCs w:val="28"/>
          <w:rtl/>
        </w:rPr>
      </w:pPr>
      <w:r w:rsidRPr="00B410A5">
        <w:rPr>
          <w:rFonts w:ascii="Arial" w:eastAsia="Times New Roman" w:hAnsi="Arial" w:cs="David"/>
          <w:b/>
          <w:bCs/>
          <w:color w:val="222222"/>
          <w:sz w:val="28"/>
          <w:szCs w:val="28"/>
          <w:rtl/>
        </w:rPr>
        <w:t>הכנסת ילד לבית הספר לפני גיל שש</w:t>
      </w:r>
    </w:p>
    <w:p w:rsidR="00B410A5" w:rsidRPr="00B410A5" w:rsidRDefault="00B410A5" w:rsidP="00B410A5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Pr="00B410A5" w:rsidRDefault="00B410A5" w:rsidP="008938FD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אמר רב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קטינ</w:t>
      </w:r>
      <w:r w:rsidR="008938FD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: כל אב המכניס את בנו לבית הספר לפני גיל </w:t>
      </w:r>
      <w:r w:rsidR="008938F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6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- רץ אחריו ואינו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מגיעו</w:t>
      </w:r>
      <w:proofErr w:type="spellEnd"/>
      <w:r w:rsidR="008938FD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כלומר</w:t>
      </w:r>
      <w:r w:rsidR="008938FD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8938FD">
        <w:rPr>
          <w:rFonts w:ascii="Arial" w:eastAsia="Times New Roman" w:hAnsi="Arial" w:cs="David" w:hint="cs"/>
          <w:color w:val="222222"/>
          <w:sz w:val="24"/>
          <w:szCs w:val="24"/>
          <w:rtl/>
        </w:rPr>
        <w:t>האב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צריך לדאוג לשלומו כי הילד נחלש בגלל הלימוד. </w:t>
      </w:r>
    </w:p>
    <w:p w:rsidR="00B410A5" w:rsidRDefault="00B410A5" w:rsidP="005339D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איכא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דאמרי</w:t>
      </w:r>
      <w:proofErr w:type="spellEnd"/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 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(= יש 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ש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אומרים, מונח שמשמעותו 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הבאת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גירסא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נוספת של 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דברים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שנאמר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קודם לכן)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חבריו של הילד רצים אחריו ואין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מגיעין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אליו מכיוון שהוא הק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ד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ים ללמוד 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ולכן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יצליח הרבה יותר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מהם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בלימודו. </w:t>
      </w:r>
    </w:p>
    <w:p w:rsidR="005339DC" w:rsidRPr="00B410A5" w:rsidRDefault="005339DC" w:rsidP="005339D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B410A5" w:rsidRPr="00B410A5" w:rsidRDefault="00B410A5" w:rsidP="005339D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lastRenderedPageBreak/>
        <w:t xml:space="preserve">ישנן שתי דרכים להסבר היחס בין שתי 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הגרסאות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שנאמרו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בדברי רב </w:t>
      </w:r>
      <w:proofErr w:type="spellStart"/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קטינא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</w:p>
    <w:p w:rsidR="00B410A5" w:rsidRPr="00B410A5" w:rsidRDefault="00B410A5" w:rsidP="005339D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א.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תרוייהו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איתנהו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(שני הדברים ישנם בו, בילד) הוא יהיה </w:t>
      </w:r>
      <w:r w:rsidR="005339DC" w:rsidRPr="005339DC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גם </w:t>
      </w:r>
      <w:r w:rsidRPr="00B410A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חלוש וגם מלומד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B410A5" w:rsidRPr="00B410A5" w:rsidRDefault="00B410A5" w:rsidP="005339D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ב.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איבעית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אימא (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אם תרצה אמור, תירוץ שני)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ילד כחוש וחלש שמכניסים אותו לבית ספר לפני גיל 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6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נחלש מאוד ועליו נא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מ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ר ״רץ אחריו ואינו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מגיעו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״ אבל ילד בריא אפשר להכניס ללימוד בגיל צעיר יותר והוא יצליח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מאוד בלימודו</w:t>
      </w:r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ועליו נאמר ״חבריו רצים אחריו ואין </w:t>
      </w:r>
      <w:proofErr w:type="spellStart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>מגיעין</w:t>
      </w:r>
      <w:proofErr w:type="spellEnd"/>
      <w:r w:rsidRPr="00B410A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אותו״</w:t>
      </w:r>
      <w:r w:rsidR="005339DC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B410A5" w:rsidRPr="00B410A5" w:rsidRDefault="00B410A5" w:rsidP="00B410A5">
      <w:pPr>
        <w:shd w:val="clear" w:color="auto" w:fill="FFFFFF"/>
        <w:bidi w:val="0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CC5866" w:rsidRPr="00850814" w:rsidRDefault="00850814" w:rsidP="00850814">
      <w:pPr>
        <w:spacing w:line="360" w:lineRule="auto"/>
        <w:jc w:val="both"/>
        <w:rPr>
          <w:rFonts w:cs="David" w:hint="cs"/>
          <w:sz w:val="20"/>
          <w:szCs w:val="20"/>
          <w:rtl/>
        </w:rPr>
      </w:pPr>
      <w:r w:rsidRPr="00850814">
        <w:rPr>
          <w:rFonts w:cs="David" w:hint="cs"/>
          <w:sz w:val="20"/>
          <w:szCs w:val="20"/>
          <w:rtl/>
        </w:rPr>
        <w:t xml:space="preserve">תומצת עבור התלמידים ע"י ד"ר אברהם </w:t>
      </w:r>
      <w:proofErr w:type="spellStart"/>
      <w:r w:rsidRPr="00850814">
        <w:rPr>
          <w:rFonts w:cs="David" w:hint="cs"/>
          <w:sz w:val="20"/>
          <w:szCs w:val="20"/>
          <w:rtl/>
        </w:rPr>
        <w:t>שיף</w:t>
      </w:r>
      <w:proofErr w:type="spellEnd"/>
    </w:p>
    <w:p w:rsidR="00850814" w:rsidRPr="00B410A5" w:rsidRDefault="00850814" w:rsidP="00850814">
      <w:pPr>
        <w:spacing w:line="360" w:lineRule="auto"/>
        <w:jc w:val="both"/>
        <w:rPr>
          <w:rFonts w:cs="David"/>
          <w:sz w:val="24"/>
          <w:szCs w:val="24"/>
        </w:rPr>
      </w:pPr>
      <w:r w:rsidRPr="00850814">
        <w:rPr>
          <w:rFonts w:cs="David" w:hint="cs"/>
          <w:sz w:val="20"/>
          <w:szCs w:val="20"/>
          <w:rtl/>
        </w:rPr>
        <w:t>תודה לליעד זעפרני תשע"ה</w:t>
      </w:r>
      <w:bookmarkStart w:id="0" w:name="_GoBack"/>
      <w:bookmarkEnd w:id="0"/>
    </w:p>
    <w:sectPr w:rsidR="00850814" w:rsidRPr="00B410A5" w:rsidSect="00271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A5"/>
    <w:rsid w:val="002548B8"/>
    <w:rsid w:val="00271C57"/>
    <w:rsid w:val="005339DC"/>
    <w:rsid w:val="00850814"/>
    <w:rsid w:val="008938FD"/>
    <w:rsid w:val="008E6FCF"/>
    <w:rsid w:val="00B410A5"/>
    <w:rsid w:val="00CC5866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7</cp:revision>
  <dcterms:created xsi:type="dcterms:W3CDTF">2015-02-04T11:41:00Z</dcterms:created>
  <dcterms:modified xsi:type="dcterms:W3CDTF">2015-02-04T12:01:00Z</dcterms:modified>
</cp:coreProperties>
</file>