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B856" w14:textId="6BC6CCE2" w:rsidR="00D9765E" w:rsidRPr="009E63FA" w:rsidRDefault="009656C8" w:rsidP="009656C8">
      <w:pPr>
        <w:jc w:val="center"/>
        <w:rPr>
          <w:rFonts w:ascii="David" w:hAnsi="David" w:cs="David"/>
          <w:sz w:val="24"/>
          <w:szCs w:val="24"/>
          <w:rtl/>
        </w:rPr>
      </w:pPr>
      <w:r w:rsidRPr="009E63FA">
        <w:rPr>
          <w:rFonts w:ascii="David" w:hAnsi="David" w:cs="David"/>
          <w:b/>
          <w:bCs/>
          <w:sz w:val="24"/>
          <w:szCs w:val="24"/>
          <w:u w:val="single"/>
          <w:rtl/>
        </w:rPr>
        <w:t>גבולות חובת כיבוד הורים בימינו</w:t>
      </w:r>
      <w:r w:rsidRPr="009E63FA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9E63FA">
        <w:rPr>
          <w:rFonts w:ascii="David" w:hAnsi="David" w:cs="David"/>
          <w:u w:val="single"/>
          <w:rtl/>
        </w:rPr>
        <w:t>(עמ' 54-57)</w:t>
      </w:r>
    </w:p>
    <w:p w14:paraId="3089F24E" w14:textId="77777777" w:rsidR="0021337B" w:rsidRDefault="0021337B" w:rsidP="009E63FA">
      <w:pPr>
        <w:jc w:val="both"/>
        <w:rPr>
          <w:rFonts w:ascii="David" w:hAnsi="David" w:cs="David"/>
          <w:sz w:val="24"/>
          <w:szCs w:val="24"/>
          <w:rtl/>
        </w:rPr>
      </w:pPr>
    </w:p>
    <w:p w14:paraId="17401240" w14:textId="17C6D87B" w:rsidR="009656C8" w:rsidRPr="009E63FA" w:rsidRDefault="009656C8" w:rsidP="009E63FA">
      <w:pPr>
        <w:jc w:val="both"/>
        <w:rPr>
          <w:rFonts w:ascii="David" w:hAnsi="David" w:cs="David"/>
          <w:sz w:val="24"/>
          <w:szCs w:val="24"/>
          <w:rtl/>
        </w:rPr>
      </w:pPr>
      <w:r w:rsidRPr="009E63FA">
        <w:rPr>
          <w:rFonts w:ascii="David" w:hAnsi="David" w:cs="David"/>
          <w:sz w:val="24"/>
          <w:szCs w:val="24"/>
          <w:rtl/>
        </w:rPr>
        <w:t>ספרות השו״ת (שאלות ותשובות) כוללת שאלות ששלחו אנשים במשך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הדורות לרבנים ופוסקי הלכה והתשובות שקיבלו מהם.</w:t>
      </w:r>
    </w:p>
    <w:p w14:paraId="1520BA8E" w14:textId="018C7FE7" w:rsidR="009656C8" w:rsidRPr="009E63FA" w:rsidRDefault="00EB3ED6" w:rsidP="009E63FA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לפנינו </w:t>
      </w:r>
      <w:r w:rsidR="009656C8" w:rsidRPr="009E63FA">
        <w:rPr>
          <w:rFonts w:ascii="David" w:hAnsi="David" w:cs="David"/>
          <w:sz w:val="24"/>
          <w:szCs w:val="24"/>
          <w:rtl/>
        </w:rPr>
        <w:t>התשובה שענה הרב עובדיה יוסף לשאלה שהופנתה אלי</w:t>
      </w:r>
      <w:r w:rsidR="009E63FA">
        <w:rPr>
          <w:rFonts w:ascii="David" w:hAnsi="David" w:cs="David" w:hint="cs"/>
          <w:sz w:val="24"/>
          <w:szCs w:val="24"/>
          <w:rtl/>
        </w:rPr>
        <w:t>ו -</w:t>
      </w:r>
      <w:r w:rsidR="009656C8" w:rsidRPr="009E63FA">
        <w:rPr>
          <w:rFonts w:ascii="David" w:hAnsi="David" w:cs="David"/>
          <w:sz w:val="24"/>
          <w:szCs w:val="24"/>
          <w:rtl/>
        </w:rPr>
        <w:t xml:space="preserve"> וכך הייתה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="009656C8" w:rsidRPr="009E63FA">
        <w:rPr>
          <w:rFonts w:ascii="David" w:hAnsi="David" w:cs="David"/>
          <w:sz w:val="24"/>
          <w:szCs w:val="24"/>
          <w:rtl/>
        </w:rPr>
        <w:t>השאלה:</w:t>
      </w:r>
      <w:r w:rsidR="00E94E16">
        <w:rPr>
          <w:rFonts w:ascii="David" w:hAnsi="David" w:cs="David"/>
          <w:sz w:val="24"/>
          <w:szCs w:val="24"/>
          <w:rtl/>
        </w:rPr>
        <w:br/>
      </w:r>
      <w:r w:rsidR="009656C8" w:rsidRPr="009E63FA">
        <w:rPr>
          <w:rFonts w:ascii="David" w:hAnsi="David" w:cs="David"/>
          <w:sz w:val="24"/>
          <w:szCs w:val="24"/>
          <w:rtl/>
        </w:rPr>
        <w:t>בחורה שאביה ציווה עליה שלא תתחתן עם איש פלוני והיא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="009656C8" w:rsidRPr="009E63FA">
        <w:rPr>
          <w:rFonts w:ascii="David" w:hAnsi="David" w:cs="David"/>
          <w:sz w:val="24"/>
          <w:szCs w:val="24"/>
          <w:rtl/>
        </w:rPr>
        <w:t>דווקא רוצה להתחתן איתו, האם היא חייבת לשמוע בקול אביה משום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="009656C8" w:rsidRPr="009E63FA">
        <w:rPr>
          <w:rFonts w:ascii="David" w:hAnsi="David" w:cs="David"/>
          <w:sz w:val="24"/>
          <w:szCs w:val="24"/>
          <w:rtl/>
        </w:rPr>
        <w:t>מצוות כיבוד אב ואם?</w:t>
      </w:r>
    </w:p>
    <w:p w14:paraId="3F67A771" w14:textId="77777777" w:rsidR="009D3EAF" w:rsidRDefault="009656C8" w:rsidP="008E467E">
      <w:pPr>
        <w:jc w:val="both"/>
        <w:rPr>
          <w:rFonts w:ascii="David" w:hAnsi="David" w:cs="David"/>
          <w:sz w:val="24"/>
          <w:szCs w:val="24"/>
          <w:rtl/>
        </w:rPr>
      </w:pPr>
      <w:r w:rsidRPr="009E63FA">
        <w:rPr>
          <w:rFonts w:ascii="David" w:hAnsi="David" w:cs="David"/>
          <w:sz w:val="24"/>
          <w:szCs w:val="24"/>
          <w:rtl/>
        </w:rPr>
        <w:t xml:space="preserve">ענה הרב עובדיה יוסף שכבר כתבו פוסקים ראשונים </w:t>
      </w:r>
      <w:r w:rsidR="009E63FA">
        <w:rPr>
          <w:rFonts w:ascii="David" w:hAnsi="David" w:cs="David" w:hint="cs"/>
          <w:sz w:val="24"/>
          <w:szCs w:val="24"/>
          <w:rtl/>
        </w:rPr>
        <w:t>(</w:t>
      </w:r>
      <w:r w:rsidRPr="009E63FA">
        <w:rPr>
          <w:rFonts w:ascii="David" w:hAnsi="David" w:cs="David"/>
          <w:sz w:val="24"/>
          <w:szCs w:val="24"/>
          <w:rtl/>
        </w:rPr>
        <w:t>מצטט את הרב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יוסף קולון מאיטליה במאה ה</w:t>
      </w:r>
      <w:r w:rsidR="009E63FA">
        <w:rPr>
          <w:rFonts w:ascii="David" w:hAnsi="David" w:cs="David" w:hint="cs"/>
          <w:sz w:val="24"/>
          <w:szCs w:val="24"/>
          <w:rtl/>
        </w:rPr>
        <w:t>-</w:t>
      </w:r>
      <w:r w:rsidRPr="009E63FA">
        <w:rPr>
          <w:rFonts w:ascii="David" w:hAnsi="David" w:cs="David"/>
          <w:sz w:val="24"/>
          <w:szCs w:val="24"/>
          <w:rtl/>
        </w:rPr>
        <w:t>15 )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״אין לאב כוח וסמכות למנוע מבנו לשאת</w:t>
      </w:r>
      <w:r w:rsidR="009E63FA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אישה שהבן רוצה בה אם היא אישה הוגנת וראויה</w:t>
      </w:r>
      <w:r w:rsidR="008E467E">
        <w:rPr>
          <w:rFonts w:ascii="David" w:hAnsi="David" w:cs="David" w:hint="cs"/>
          <w:sz w:val="24"/>
          <w:szCs w:val="24"/>
          <w:rtl/>
        </w:rPr>
        <w:t xml:space="preserve">" </w:t>
      </w:r>
      <w:r w:rsidRPr="009E63FA">
        <w:rPr>
          <w:rFonts w:ascii="David" w:hAnsi="David" w:cs="David"/>
          <w:sz w:val="24"/>
          <w:szCs w:val="24"/>
          <w:rtl/>
        </w:rPr>
        <w:t xml:space="preserve">שהרי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אפילו אין זכות לאבא להוציא כסף מהבן,</w:t>
      </w:r>
      <w:r w:rsidR="008E467E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 xml:space="preserve">כי ההלכה היא שכיבוד </w:t>
      </w:r>
      <w:r w:rsidR="009D3EAF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אב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הוא</w:t>
      </w:r>
      <w:r w:rsidR="008E467E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״משל האב״</w:t>
      </w:r>
      <w:r w:rsidRPr="009E63FA">
        <w:rPr>
          <w:rFonts w:ascii="David" w:hAnsi="David" w:cs="David"/>
          <w:sz w:val="24"/>
          <w:szCs w:val="24"/>
          <w:rtl/>
        </w:rPr>
        <w:t xml:space="preserve"> ולא ״משל הבן״, כל שכן שאין לאבא זכות להתערב ברגשות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של הבן ולהכריחו לעזוב אישה שהוא אוהב ולשאת לאישה מישהי שהוא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לא רוצה.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B7FF5FE" w14:textId="141687E2" w:rsidR="009656C8" w:rsidRPr="009E63FA" w:rsidRDefault="009656C8" w:rsidP="008E467E">
      <w:pPr>
        <w:jc w:val="both"/>
        <w:rPr>
          <w:rFonts w:ascii="David" w:hAnsi="David" w:cs="David"/>
          <w:sz w:val="24"/>
          <w:szCs w:val="24"/>
          <w:rtl/>
        </w:rPr>
      </w:pPr>
      <w:r w:rsidRPr="009E63FA">
        <w:rPr>
          <w:rFonts w:ascii="David" w:hAnsi="David" w:cs="David"/>
          <w:sz w:val="24"/>
          <w:szCs w:val="24"/>
          <w:rtl/>
        </w:rPr>
        <w:t>ועוד, שלדעת</w:t>
      </w:r>
      <w:r w:rsidR="008E467E">
        <w:rPr>
          <w:rFonts w:ascii="David" w:hAnsi="David" w:cs="David" w:hint="cs"/>
          <w:sz w:val="24"/>
          <w:szCs w:val="24"/>
          <w:rtl/>
        </w:rPr>
        <w:t>ו</w:t>
      </w:r>
      <w:r w:rsidRPr="009E63FA">
        <w:rPr>
          <w:rFonts w:ascii="David" w:hAnsi="David" w:cs="David"/>
          <w:sz w:val="24"/>
          <w:szCs w:val="24"/>
          <w:rtl/>
        </w:rPr>
        <w:t xml:space="preserve">,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מי שאוסר על בנו לשאת לאישה את אהובתו הוא כמצווה</w:t>
      </w:r>
      <w:r w:rsidR="008E467E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 xml:space="preserve">את בנו לעבור על דברי תורה </w:t>
      </w:r>
      <w:r w:rsidRPr="009E63FA">
        <w:rPr>
          <w:rFonts w:ascii="David" w:hAnsi="David" w:cs="David"/>
          <w:sz w:val="24"/>
          <w:szCs w:val="24"/>
          <w:rtl/>
        </w:rPr>
        <w:t>כי הבן עלול להתחתן עם אישה שאינו אוהב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 xml:space="preserve">ולעבור על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״ואהבת לרעך כמוך״</w:t>
      </w:r>
      <w:r w:rsidRPr="009E63FA">
        <w:rPr>
          <w:rFonts w:ascii="David" w:hAnsi="David" w:cs="David"/>
          <w:sz w:val="24"/>
          <w:szCs w:val="24"/>
          <w:rtl/>
        </w:rPr>
        <w:t xml:space="preserve"> </w:t>
      </w:r>
      <w:r w:rsidR="008E467E">
        <w:rPr>
          <w:rFonts w:ascii="David" w:hAnsi="David" w:cs="David" w:hint="cs"/>
          <w:sz w:val="24"/>
          <w:szCs w:val="24"/>
          <w:rtl/>
        </w:rPr>
        <w:t>(</w:t>
      </w:r>
      <w:r w:rsidRPr="009E63FA">
        <w:rPr>
          <w:rFonts w:ascii="David" w:hAnsi="David" w:cs="David"/>
          <w:sz w:val="24"/>
          <w:szCs w:val="24"/>
          <w:rtl/>
        </w:rPr>
        <w:t>ויקרא י״ט</w:t>
      </w:r>
      <w:r w:rsidR="008E467E">
        <w:rPr>
          <w:rFonts w:ascii="David" w:hAnsi="David" w:cs="David" w:hint="cs"/>
          <w:sz w:val="24"/>
          <w:szCs w:val="24"/>
          <w:rtl/>
        </w:rPr>
        <w:t>)</w:t>
      </w:r>
      <w:r w:rsidRPr="009E63FA">
        <w:rPr>
          <w:rFonts w:ascii="David" w:hAnsi="David" w:cs="David"/>
          <w:sz w:val="24"/>
          <w:szCs w:val="24"/>
          <w:rtl/>
        </w:rPr>
        <w:t xml:space="preserve"> ולכן אמרו חז״ל: ״אסור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 xml:space="preserve">לאדם לקדש אישה עד </w:t>
      </w:r>
      <w:proofErr w:type="spellStart"/>
      <w:r w:rsidRPr="009E63FA">
        <w:rPr>
          <w:rFonts w:ascii="David" w:hAnsi="David" w:cs="David"/>
          <w:sz w:val="24"/>
          <w:szCs w:val="24"/>
          <w:rtl/>
        </w:rPr>
        <w:t>שיראנה</w:t>
      </w:r>
      <w:proofErr w:type="spellEnd"/>
      <w:r w:rsidRPr="009E63FA">
        <w:rPr>
          <w:rFonts w:ascii="David" w:hAnsi="David" w:cs="David"/>
          <w:sz w:val="24"/>
          <w:szCs w:val="24"/>
          <w:rtl/>
        </w:rPr>
        <w:t>״ כי היא עלולה לא למצוא חן בעיניו.</w:t>
      </w:r>
    </w:p>
    <w:p w14:paraId="39962D6D" w14:textId="50B17FBF" w:rsidR="008E467E" w:rsidRDefault="009656C8" w:rsidP="008E467E">
      <w:pPr>
        <w:jc w:val="both"/>
        <w:rPr>
          <w:rFonts w:ascii="David" w:hAnsi="David" w:cs="David"/>
          <w:sz w:val="24"/>
          <w:szCs w:val="24"/>
          <w:rtl/>
        </w:rPr>
      </w:pPr>
      <w:r w:rsidRPr="009E63FA">
        <w:rPr>
          <w:rFonts w:ascii="David" w:hAnsi="David" w:cs="David"/>
          <w:sz w:val="24"/>
          <w:szCs w:val="24"/>
          <w:rtl/>
        </w:rPr>
        <w:t xml:space="preserve">וכבר כתב </w:t>
      </w:r>
      <w:proofErr w:type="spellStart"/>
      <w:r w:rsidRPr="009E63FA">
        <w:rPr>
          <w:rFonts w:ascii="David" w:hAnsi="David" w:cs="David"/>
          <w:sz w:val="24"/>
          <w:szCs w:val="24"/>
          <w:rtl/>
        </w:rPr>
        <w:t>הרא״ש</w:t>
      </w:r>
      <w:proofErr w:type="spellEnd"/>
      <w:r w:rsidRPr="009E63FA">
        <w:rPr>
          <w:rFonts w:ascii="David" w:hAnsi="David" w:cs="David"/>
          <w:sz w:val="24"/>
          <w:szCs w:val="24"/>
          <w:rtl/>
        </w:rPr>
        <w:t xml:space="preserve"> </w:t>
      </w:r>
      <w:r w:rsidR="008E467E">
        <w:rPr>
          <w:rFonts w:ascii="David" w:hAnsi="David" w:cs="David" w:hint="cs"/>
          <w:sz w:val="24"/>
          <w:szCs w:val="24"/>
          <w:rtl/>
        </w:rPr>
        <w:t>(</w:t>
      </w:r>
      <w:r w:rsidR="009D3EAF">
        <w:rPr>
          <w:rFonts w:ascii="David" w:hAnsi="David" w:cs="David" w:hint="cs"/>
          <w:sz w:val="24"/>
          <w:szCs w:val="24"/>
          <w:rtl/>
        </w:rPr>
        <w:t xml:space="preserve">רבינו אשר, </w:t>
      </w:r>
      <w:r w:rsidRPr="009E63FA">
        <w:rPr>
          <w:rFonts w:ascii="David" w:hAnsi="David" w:cs="David"/>
          <w:sz w:val="24"/>
          <w:szCs w:val="24"/>
          <w:rtl/>
        </w:rPr>
        <w:t xml:space="preserve">מאה </w:t>
      </w:r>
      <w:r w:rsidR="008E467E">
        <w:rPr>
          <w:rFonts w:ascii="David" w:hAnsi="David" w:cs="David" w:hint="cs"/>
          <w:sz w:val="24"/>
          <w:szCs w:val="24"/>
          <w:rtl/>
        </w:rPr>
        <w:t>13-14</w:t>
      </w:r>
      <w:r w:rsidRPr="009E63FA">
        <w:rPr>
          <w:rFonts w:ascii="David" w:hAnsi="David" w:cs="David"/>
          <w:sz w:val="24"/>
          <w:szCs w:val="24"/>
          <w:rtl/>
        </w:rPr>
        <w:t xml:space="preserve"> )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בתשובה: אם האב ציווה על בנו שלא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ידבר עם פלוני ושלא ימחל לו והבן דווקא רוצה להתפייס עימו, אינו צריך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הבן לחשוש לצוואת אביו כי אסור לשנוא שום יהודי ואותו דבר גם בענייננו.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4AEDB6F" w14:textId="1F1515E9" w:rsidR="009656C8" w:rsidRPr="009E63FA" w:rsidRDefault="009656C8" w:rsidP="0021337B">
      <w:pPr>
        <w:jc w:val="both"/>
        <w:rPr>
          <w:rFonts w:ascii="David" w:hAnsi="David" w:cs="David"/>
          <w:sz w:val="24"/>
          <w:szCs w:val="24"/>
        </w:rPr>
      </w:pPr>
      <w:r w:rsidRPr="009E63FA">
        <w:rPr>
          <w:rFonts w:ascii="David" w:hAnsi="David" w:cs="David"/>
          <w:sz w:val="24"/>
          <w:szCs w:val="24"/>
          <w:rtl/>
        </w:rPr>
        <w:t>ועוד, בדבר שלא נוגע ישירות לאב פשוט שאין לו כוח וסמכות לצוות על</w:t>
      </w:r>
      <w:r w:rsidR="008E467E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הבן ולמנוע ממנו איזה דבר</w:t>
      </w:r>
      <w:r w:rsidR="008E467E">
        <w:rPr>
          <w:rFonts w:ascii="David" w:hAnsi="David" w:cs="David" w:hint="cs"/>
          <w:sz w:val="24"/>
          <w:szCs w:val="24"/>
          <w:rtl/>
        </w:rPr>
        <w:t>.</w:t>
      </w:r>
      <w:r w:rsidRPr="009E63FA">
        <w:rPr>
          <w:rFonts w:ascii="David" w:hAnsi="David" w:cs="David"/>
          <w:sz w:val="24"/>
          <w:szCs w:val="24"/>
          <w:rtl/>
        </w:rPr>
        <w:t xml:space="preserve"> ואכן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ההחלטה של הבן להתחתן עם אישה</w:t>
      </w:r>
      <w:r w:rsidR="0021337B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פלונית לא קשורה לכיבוד ולא קשורה למורא אב ואם</w:t>
      </w:r>
      <w:r w:rsidRPr="009E63FA">
        <w:rPr>
          <w:rFonts w:ascii="David" w:hAnsi="David" w:cs="David"/>
          <w:sz w:val="24"/>
          <w:szCs w:val="24"/>
          <w:rtl/>
        </w:rPr>
        <w:t xml:space="preserve">, כי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כיבוד</w:t>
      </w:r>
      <w:r w:rsidRPr="009E63FA">
        <w:rPr>
          <w:rFonts w:ascii="David" w:hAnsi="David" w:cs="David"/>
          <w:sz w:val="24"/>
          <w:szCs w:val="24"/>
          <w:rtl/>
        </w:rPr>
        <w:t xml:space="preserve"> זה כגון</w:t>
      </w:r>
      <w:r w:rsidR="0021337B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>מאכילו ומשקה אותו וכדומה, ו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מורא</w:t>
      </w:r>
      <w:r w:rsidRPr="009E63FA">
        <w:rPr>
          <w:rFonts w:ascii="David" w:hAnsi="David" w:cs="David"/>
          <w:sz w:val="24"/>
          <w:szCs w:val="24"/>
          <w:rtl/>
        </w:rPr>
        <w:t xml:space="preserve"> - שלא ישב במקומו ולא יסתור את</w:t>
      </w:r>
      <w:r w:rsidR="0021337B">
        <w:rPr>
          <w:rFonts w:ascii="David" w:hAnsi="David" w:cs="David" w:hint="cs"/>
          <w:sz w:val="24"/>
          <w:szCs w:val="24"/>
          <w:rtl/>
        </w:rPr>
        <w:t xml:space="preserve"> </w:t>
      </w:r>
      <w:r w:rsidRPr="009E63FA">
        <w:rPr>
          <w:rFonts w:ascii="David" w:hAnsi="David" w:cs="David"/>
          <w:sz w:val="24"/>
          <w:szCs w:val="24"/>
          <w:rtl/>
        </w:rPr>
        <w:t xml:space="preserve">דבריו וכדומה. ולכן המסקנה היא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שבכל הקשור לנישואי הבן והבת אין</w:t>
      </w:r>
      <w:r w:rsidR="0021337B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 xml:space="preserve">לאב כוח למחות בילדיו, הילכך </w:t>
      </w:r>
      <w:r w:rsidR="0021337B" w:rsidRPr="009D3EAF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=ולכן</w:t>
      </w:r>
      <w:r w:rsidR="0021337B" w:rsidRPr="009D3EAF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 xml:space="preserve"> רשאית הבת להינשא למי שתחפוץ</w:t>
      </w:r>
      <w:r w:rsidR="0021337B" w:rsidRPr="009D3E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D3EAF">
        <w:rPr>
          <w:rFonts w:ascii="David" w:hAnsi="David" w:cs="David"/>
          <w:b/>
          <w:bCs/>
          <w:sz w:val="24"/>
          <w:szCs w:val="24"/>
          <w:rtl/>
        </w:rPr>
        <w:t>בו אפילו נגד הוריה</w:t>
      </w:r>
      <w:r w:rsidRPr="009E63FA">
        <w:rPr>
          <w:rFonts w:ascii="David" w:hAnsi="David" w:cs="David"/>
          <w:sz w:val="24"/>
          <w:szCs w:val="24"/>
          <w:rtl/>
        </w:rPr>
        <w:t>.</w:t>
      </w:r>
    </w:p>
    <w:sectPr w:rsidR="009656C8" w:rsidRPr="009E63FA" w:rsidSect="007B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C8"/>
    <w:rsid w:val="0021337B"/>
    <w:rsid w:val="00371739"/>
    <w:rsid w:val="004160BA"/>
    <w:rsid w:val="007B5846"/>
    <w:rsid w:val="008E467E"/>
    <w:rsid w:val="009656C8"/>
    <w:rsid w:val="009D3EAF"/>
    <w:rsid w:val="009E63FA"/>
    <w:rsid w:val="00A844CE"/>
    <w:rsid w:val="00D9765E"/>
    <w:rsid w:val="00E94E16"/>
    <w:rsid w:val="00E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691D"/>
  <w15:chartTrackingRefBased/>
  <w15:docId w15:val="{A254C80F-796F-4172-BB1E-49F6CF7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1310</Characters>
  <Application>Microsoft Office Word</Application>
  <DocSecurity>2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Avraham</cp:lastModifiedBy>
  <cp:revision>2</cp:revision>
  <dcterms:created xsi:type="dcterms:W3CDTF">2022-06-01T10:35:00Z</dcterms:created>
  <dcterms:modified xsi:type="dcterms:W3CDTF">2022-06-01T10:35:00Z</dcterms:modified>
</cp:coreProperties>
</file>